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5. Полномочия антимонопольного органа. Федеральный государственный контроль (надзор) в сфере рекламы. Ответственность за нарушение законодательства Российской Федерации о рекламе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Антимонопольный орган в пределах своих полномочий возбуждает и рассматривает дела по признакам нарушения законодательства Российской Федерации о рекламе, принимает по результатам рассмотрения таких дел решения и выдает предписания, предусмотренные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Антимонопольный орган по собственной инициативе, представлению прокурора, обращениям органов государственной власти или органов местного самоуправления, заявлениям физических или юридических лиц, а также по результатам проведения антимонопольным органом контрольных (надзорных) мероприятий возбуждает дела по признакам нарушения законодательства Российской Федерации о рекламе.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Предписание о прекращении нарушения законодательства Российской Федерации о рекламе выдается на основании решения антимонопольного органа о признании рекламы ненадлежащей и должно содержать указание о прекращении ее распространения.</w:t>
      </w:r>
    </w:p>
    <w:p>
      <w:pPr>
        <w:spacing w:after="120"/>
        <w:ind w:firstLine="709"/>
      </w:pPr>
      <w:r>
        <w:rPr>
          <w:sz w:val="24"/>
        </w:rPr>
        <w:t xml:space="preserve">4. Предписание о прекращении нарушения законодательства Российской Федерации о рекламе подлежит исполнению в срок, который указан в предписании. Такой срок не может составлять менее чем пять дней со дня получения предписания.</w:t>
      </w:r>
    </w:p>
    <w:p>
      <w:pPr>
        <w:spacing w:after="120"/>
        <w:ind w:firstLine="709"/>
      </w:pPr>
      <w:r>
        <w:rPr>
          <w:sz w:val="24"/>
        </w:rPr>
        <w:t xml:space="preserve">5. Предписание о прекращении нарушения законодательства Российской Федерации о рекламе считается неисполненным, если по истечении срока исполнения такого предписания продолжается распространение ненадлежащей рекламы.</w:t>
      </w:r>
    </w:p>
    <w:p>
      <w:pPr>
        <w:spacing w:after="120"/>
        <w:ind w:firstLine="709"/>
      </w:pPr>
      <w:r>
        <w:rPr>
          <w:sz w:val="24"/>
        </w:rPr>
        <w:t xml:space="preserve">6. Предписание об отмене или изменении противоречащего законодательству Российской Федерации о рекламе акта федерального органа исполнительной власти, акта органа исполнительной власти субъекта Российской Федерации или акта органа местного самоуправления выдается на основании решения антимонопольного органа о противоречии такого акта законодательству Российской Федерации о рекламе. В предписании об изменении противоречащего законодательству Российской Федерации о рекламе акта федерального органа исполнительной власти, акта органа исполнительной власти субъекта Российской Федерации или акта органа местного самоуправления должны быть указаны изменения, которые следует внести в такой акт для приведения его в соответствие с законодательством Российской Федерации о рекламе.</w:t>
      </w:r>
    </w:p>
    <w:p>
      <w:pPr>
        <w:spacing w:after="120"/>
        <w:ind w:firstLine="709"/>
      </w:pPr>
      <w:r>
        <w:rPr>
          <w:sz w:val="24"/>
        </w:rPr>
        <w:t xml:space="preserve">7. Предписание об отмене или изменении противоречащего законодательству Российской Федерации о рекламе акта федерального органа исполнительной власти, акта органа исполнительной власти субъекта Российской Федерации или акта органа местного самоуправления подлежит исполнению в срок, который указан в предписании. Такой срок не может составлять менее чем месяц со дня получения предписания федеральным органом исполнительной власти, органом исполнительной власти субъекта Российской Федерации или органом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8. Неисполнение предписаний антимонопольного органа, выданных на основании настоящего Федерального закона, влечет за собой ответственность в соответствии с законодательством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9. Рассмотрение антимонопольным органом дел, возбужденных по признакам нарушения законодательства Российской Федерации о рекламе, осуществляется в порядке , установленном Правительством Российской Федерации. В отношении дел, возбужденных по признакам нарушения законодательства Российской Федерации о рекламе в связи с нарушением части 10.4 статьи 5 и (или) пункта 11 статьи 7 настоящего Федерального закона, Правительством Российской Федерации могут устанавливаться особенности рассмотрения таких дел в части подведомственности дел, порядка рассмотрения заявлений, обращений и представлений о нарушении законодательства Российской Федерации о рекламе, возбуждения, рассмотрения дела и принятия по нему решений.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Утратил силу. - Федеральный закон от 21.07.2014 N 264-ФЗ.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36</dc:title>
  <dc:creator>АРБИТРАЖ! · arbi.ru</dc:creator>
  <cp:lastModifiedBy>АРБИТРАЖ!</cp:lastModifiedBy>
  <dcterms:created xsi:type="dcterms:W3CDTF">2026-10-23T00:43:10.457Z</dcterms:created>
</cp:coreProperties>
</file>