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Заключительные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Федеральный закон вступает в силу с 1 июля 2006 года, за исключением части 3 статьи 14 , части 2 статьи 20 и пункта 4 части 2 статьи 23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Часть 2 статьи 20 и пункт 4 части 2 статьи 23 настоящего Федерального закона вступают в силу с 1 января 2007 года.</w:t>
      </w:r>
    </w:p>
    <w:p>
      <w:pPr>
        <w:spacing w:after="120"/>
        <w:ind w:firstLine="709"/>
      </w:pPr>
      <w:r>
        <w:rPr>
          <w:sz w:val="24"/>
        </w:rPr>
        <w:t xml:space="preserve">3. Часть 3 статьи 14 настоящего Федерального закона вступает в силу с 1 января 2008 года.</w:t>
      </w:r>
    </w:p>
    <w:p>
      <w:pPr>
        <w:spacing w:after="120"/>
        <w:ind w:firstLine="709"/>
      </w:pPr>
      <w:r>
        <w:rPr>
          <w:sz w:val="24"/>
        </w:rPr>
        <w:t xml:space="preserve">4. Установить, что в период с 1 июля 2006 года по 1 января 2008 года общая продолжительность распространенной в телепрограмме рекламы (в том числе такой рекламы, как телемагазины), прерывания телепрограммы рекламой (в том числе спонсорской рекламой) и совмещения рекламы с телепрограммой способом "бегущей строки" или иным способом ее наложения на кадр транслируемой телепрограммы не может превышать двадцать процентов времени вещания в течение часа и пятнадцать процентов времени вещания в течение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39</dc:title>
  <dc:creator>АРБИТРАЖ! · arbi.ru</dc:creator>
  <cp:lastModifiedBy>АРБИТРАЖ!</cp:lastModifiedBy>
  <dcterms:created xsi:type="dcterms:W3CDTF">2026-10-22T10:19:04.739Z</dcterms:created>
</cp:coreProperties>
</file>