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14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Статус адвоката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юстиции ведет Единый государственный реестр адвокатов.</w:t>
      </w:r>
    </w:p>
    <w:p>
      <w:pPr>
        <w:spacing w:after="120"/>
        <w:ind w:firstLine="709"/>
      </w:pPr>
      <w:r>
        <w:rPr>
          <w:sz w:val="24"/>
        </w:rPr>
        <w:t xml:space="preserve">2. Порядок ведения Единого государственного реестра адвокатов и состав включаемых в него сведений устанавливаются федеральным органом юстиции.</w:t>
      </w:r>
    </w:p>
    <w:p>
      <w:pPr>
        <w:spacing w:after="120"/>
        <w:ind w:firstLine="709"/>
      </w:pPr>
      <w:r>
        <w:rPr>
          <w:sz w:val="24"/>
        </w:rPr>
        <w:t xml:space="preserve">3. Единый государственный реестр адвокатов является федеральным государственным информационным ресурсом, содержащим сведения об адвокатах.</w:t>
      </w:r>
    </w:p>
    <w:p>
      <w:pPr>
        <w:spacing w:after="120"/>
        <w:ind w:firstLine="709"/>
      </w:pPr>
      <w:r>
        <w:rPr>
          <w:sz w:val="24"/>
        </w:rPr>
        <w:t xml:space="preserve">4. Федеральная палата адвокатов обеспечивает передачу федеральному органу юстиции в электронной форме сведений о претендентах, принесших присягу адвоката, сведений о претендентах, не сдавших квалификационного экзамена, и сведений, содержащихся в реестрах адвокатских образований, в объеме сведений, определенном по согласованию с Федеральной палатой адвокатов.</w:t>
      </w:r>
    </w:p>
    <w:p>
      <w:pPr>
        <w:spacing w:after="120"/>
        <w:ind w:firstLine="709"/>
      </w:pPr>
      <w:r>
        <w:rPr>
          <w:sz w:val="24"/>
        </w:rPr>
        <w:t xml:space="preserve">5. Единый государственный реестр адвокатов ведется на бумажных и (или) электронных носителях. Способ ведения указанного реестра определяется федеральным органом юстиции. При несоответствии между записями на бумажных и электронных носителях приоритет имеют записи на бумажных носителях.</w:t>
      </w:r>
    </w:p>
    <w:p>
      <w:pPr>
        <w:spacing w:after="120"/>
        <w:ind w:firstLine="709"/>
      </w:pPr>
      <w:r>
        <w:rPr>
          <w:sz w:val="24"/>
        </w:rPr>
        <w:t xml:space="preserve">6. Ведение Единого государственного реестра адвокатов на электронных носителях осуществляется в соответствии с едиными организационными, методологическими и программно-техническими принципами, обеспечивающими совместимость и взаимодействие указанного реестра с иными федеральными информационными системами и информационно-телекоммуникационными сетями.</w:t>
      </w:r>
    </w:p>
    <w:p>
      <w:pPr>
        <w:spacing w:after="120"/>
        <w:ind w:firstLine="709"/>
      </w:pPr>
      <w:r>
        <w:rPr>
          <w:sz w:val="24"/>
        </w:rPr>
        <w:t xml:space="preserve">7. Сведения об адвокатах, содержащиеся в Едином государственном реестре адвокатов, являются открытыми и общедоступными при условии отнесения к таковым федеральным органом юстиции.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14</dc:title>
  <dc:creator>АРБИТРАЖ! · arbi.ru</dc:creator>
  <cp:lastModifiedBy>АРБИТРАЖ!</cp:lastModifiedBy>
  <dcterms:created xsi:type="dcterms:W3CDTF">2026-10-22T19:05:10.123Z</dcterms:created>
</cp:coreProperties>
</file>