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20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Формами адвокатских образований являются: адвокатский кабинет, коллегия адвокатов, адвокатское бюро и юридическая консультация.</w:t>
      </w:r>
    </w:p>
    <w:p>
      <w:pPr>
        <w:spacing w:after="120"/>
        <w:ind w:firstLine="709"/>
      </w:pPr>
      <w:r>
        <w:rPr>
          <w:sz w:val="24"/>
        </w:rPr>
        <w:t xml:space="preserve">2. Адвокат вправе в соответствии с настоящим Федеральным законом самостоятельно избирать форму адвокатского образования и место осуществления адвокатской деятельности. Об избранных форме адвокатского образования и месте осуществления адвокатской деятельности адвокат обязан уведомить совет адвокатской палаты в порядке , установленном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3. В случаях, предусмотренных статьей 24 настоящего Федерального закона, адвокат осуществляет адвокатскую деятельность в юридической консультации.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20</dc:title>
  <dc:creator>АРБИТРАЖ! · arbi.ru</dc:creator>
  <cp:lastModifiedBy>АРБИТРАЖ!</cp:lastModifiedBy>
  <dcterms:created xsi:type="dcterms:W3CDTF">2026-10-22T20:38:24.752Z</dcterms:created>
</cp:coreProperties>
</file>