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осуществления контроля за финансово-хозяйственной деятельностью адвокатской палаты и ее органов избирается ревизионная комиссия из числа адвокатов, являющихся членами этой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 итогах своей деятельности ревизионная комиссия отчитывается перед собранием (конференцией) адвокатов.</w:t>
      </w:r>
    </w:p>
    <w:p>
      <w:pPr>
        <w:spacing w:after="120"/>
        <w:ind w:firstLine="709"/>
      </w:pPr>
      <w:r>
        <w:rPr>
          <w:sz w:val="24"/>
        </w:rPr>
        <w:t xml:space="preserve">3. Члены ревизионной комиссии могут совмещать работу в ревизионной комиссии с адвокатской деятельностью, получая при этом вознаграждение за работу в ревизионной комиссии в размере, определяемом советом адвокатской палаты. Члены ревизионной комиссии не вправе занимать иную выборную должность в адвокатской палате.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32</dc:title>
  <dc:creator>АРБИТРАЖ! · arbi.ru</dc:creator>
  <cp:lastModifiedBy>АРБИТРАЖ!</cp:lastModifiedBy>
  <dcterms:created xsi:type="dcterms:W3CDTF">2026-10-22T21:12:48.136Z</dcterms:created>
</cp:coreProperties>
</file>