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адвокатской палаты формируется за счет отчислений, осуществляемых адвокатами на общие нужды адвокатской палаты, грантов и благотворительной помощи (пожертвований), поступающих от юридических и физических лиц в порядке, установленном законодательством Российской Федерации. Адвокатская палата является собственником данного имущества.</w:t>
      </w:r>
    </w:p>
    <w:p>
      <w:pPr>
        <w:spacing w:after="120"/>
        <w:ind w:firstLine="709"/>
      </w:pPr>
      <w:r>
        <w:rPr>
          <w:sz w:val="24"/>
        </w:rPr>
        <w:t xml:space="preserve">2. К затратам на общие нужды адвокатской палаты относятся расходы на вознаграждение адвокатов, работающих в органах адвокатской палаты, компенсация этим адвокатам расходов, связанных с их работой в указанных органах, расходы на заработную плату работников аппарата адвокатской палаты, материальное обеспечение деятельности адвокатской палаты, а по решению совета адвокатской палаты - расходы на выплату дополнительного вознаграждения адвокатов, оказывающих юридическую помощь гражданам Российской Федерации бесплатно, и иные расходы, предусмотренные сметой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20.12.2004 N 163-ФЗ , от 21.11.2011 N 326-ФЗ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34</dc:title>
  <dc:creator>АРБИТРАЖ! · arbi.ru</dc:creator>
  <cp:lastModifiedBy>АРБИТРАЖ!</cp:lastModifiedBy>
  <dcterms:created xsi:type="dcterms:W3CDTF">2026-10-22T12:55:17.844Z</dcterms:created>
</cp:coreProperties>
</file>