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38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4. Организация адвокатской деятельности и адвокатуры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Имущество Федеральной палаты адвокатов формируется за счет отчислений, осуществляемых адвокатскими палатами, грантов и благотворительной помощи (пожертвований), поступающих от юридических и физических лиц в порядке, установленном законодательством Российской Федерации. Федеральная палата адвокатов является собственником данного имущества.</w:t>
      </w:r>
    </w:p>
    <w:p>
      <w:pPr>
        <w:spacing w:after="120"/>
        <w:ind w:firstLine="709"/>
      </w:pPr>
      <w:r>
        <w:rPr>
          <w:sz w:val="24"/>
        </w:rPr>
        <w:t xml:space="preserve">2. К затратам на общие нужды Федеральной палаты адвокатов относятся расходы на вознаграждение адвокатов, работающих в органах Федеральной палаты адвокатов, компенсация данным адвокатам расходов, связанных с их работой в указанных органах, расходы на заработную плату работников аппарата Федеральной палаты адвокатов, материальное обеспечение деятельности Федеральной палаты адвокатов и иные расходы, предусмотренные сметой Федеральной палаты адвокатов.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20.12.2004 N 163-ФЗ)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38</dc:title>
  <dc:creator>АРБИТРАЖ! · arbi.ru</dc:creator>
  <cp:lastModifiedBy>АРБИТРАЖ!</cp:lastModifiedBy>
  <dcterms:created xsi:type="dcterms:W3CDTF">2026-10-23T01:17:15.962Z</dcterms:created>
</cp:coreProperties>
</file>