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39.2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4.1. Комплексная информационная система адвокатуры России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1. КИС АР состоит из подсистем, предназначенных для автоматизации основных направлений деятельности адвокатов, адвокатских образований, адвокатских палат и Федеральной палаты адвокатов, включая:</w:t>
      </w:r>
    </w:p>
    <w:p>
      <w:pPr>
        <w:spacing w:after="120"/>
        <w:ind w:firstLine="709"/>
      </w:pPr>
      <w:r>
        <w:rPr>
          <w:sz w:val="24"/>
        </w:rPr>
        <w:t xml:space="preserve">1) проведение квалификационного экзамена на присвоение статуса адвоката и автоматизированной анонимной проверки результатов электронного тестирования;</w:t>
      </w:r>
    </w:p>
    <w:p>
      <w:pPr>
        <w:spacing w:after="120"/>
        <w:ind w:firstLine="709"/>
      </w:pPr>
      <w:r>
        <w:rPr>
          <w:sz w:val="24"/>
        </w:rPr>
        <w:t xml:space="preserve">2) присвоение, приостановление, возобновление, прекращение, восстановление статуса адвоката, изменение адвокатом членства в адвокатской палате одного субъекта Российской Федерации на членство в адвокатской палате другого субъекта Российской Федерации, в том числе информационное взаимодействие (обмен) федерального органа юстиции с территориальными органами юстиции при ведении ими Единого государственного реестра адвокатов;</w:t>
      </w:r>
    </w:p>
    <w:p>
      <w:pPr>
        <w:spacing w:after="120"/>
        <w:ind w:firstLine="709"/>
      </w:pPr>
      <w:r>
        <w:rPr>
          <w:sz w:val="24"/>
        </w:rPr>
        <w:t xml:space="preserve">3) обеспечение ведения реестров адвокатских образований адвокатскими палатами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оказание юридической помощи адвокатами, участвующими в качестве защитников или представителей в уголовном, гражданском, административном судопроизводстве или в иных установленных законом случаях по назначению органов дознания, органов предварительного следствия или суда, в порядке, предусмотренном подпунктом 3.1 пункта 3 статьи 37 настоящего Федерального закона, информационное взаимодействие (обмен) с органами дознания, органами предварительного следствия и судами по вопросам оказания такой юридической помощи;</w:t>
      </w:r>
    </w:p>
    <w:p>
      <w:pPr>
        <w:spacing w:after="120"/>
        <w:ind w:firstLine="709"/>
      </w:pPr>
      <w:r>
        <w:rPr>
          <w:sz w:val="24"/>
        </w:rPr>
        <w:t xml:space="preserve">5) оказание бесплатной юридической помощи адвокатами в рамках государственной и негосударственной систем бесплатной юридической помощи в соответствии с Федеральным законом "О бесплатной юридической помощи в Российской Федерации", а также ведение учета и отчетности об оказании бесплатной юридической помощи, информационное взаимодействие (обмен) с иными участниками государственной системы бесплатной юридической помощи;</w:t>
      </w:r>
    </w:p>
    <w:p>
      <w:pPr>
        <w:spacing w:after="120"/>
        <w:ind w:firstLine="709"/>
      </w:pPr>
      <w:r>
        <w:rPr>
          <w:sz w:val="24"/>
        </w:rPr>
        <w:t xml:space="preserve">6) повышение профессионального уровня адвокатов, помощников адвокатов и стажеров адвокатов, ведение учета и отчетности, связанные с ним;</w:t>
      </w:r>
    </w:p>
    <w:p>
      <w:pPr>
        <w:spacing w:after="120"/>
        <w:ind w:firstLine="709"/>
      </w:pPr>
      <w:r>
        <w:rPr>
          <w:sz w:val="24"/>
        </w:rPr>
        <w:t xml:space="preserve">7) организацию информационного обеспечения адвокатов, адвокатских образований и адвокатских палат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8) обеспечение в предусмотренных законом случаях информационного взаимодействия (обмена), в том числе посредством информационно-телекоммуникационной сети "Интернет" и единой системы межведомственного электронного взаимодействия, адвокатуры с федеральными органами государственной власти, органами государственной власти субъектов Российской Федерации, судами, иными государственными органами, органами местного самоуправления, иными муниципальными органами, юридическими и физическими лицами в пределах полномочий указанных органов и лиц, предусмотренных соответствующими нормативными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2. Сроки и порядок разработки и введения в эксплуатацию подсистем КИС АР или их отдельных частей определяются советом Федеральной палаты адвокатов.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39.2</dc:title>
  <dc:creator>АРБИТРАЖ! · arbi.ru</dc:creator>
  <cp:lastModifiedBy>АРБИТРАЖ!</cp:lastModifiedBy>
  <dcterms:created xsi:type="dcterms:W3CDTF">2026-10-22T22:55:04.424Z</dcterms:created>
</cp:coreProperties>
</file>