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459 ГК РФ</w:t>
      </w:r>
    </w:p>
    <w:p>
      <w:pPr>
        <w:spacing w:after="120"/>
        <w:ind w:firstLine="709"/>
      </w:pPr>
      <w:r>
        <w:rPr>
          <w:sz w:val="24"/>
        </w:rPr>
        <w:t xml:space="preserve">- Пример определения момента перехода риска случайной гибели товара моментом сдачи груза представителю покупателя при купле-продаже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купли-продажи, риск случайной гибели или случайного повреждения товара переходит на покупателя с момента, когда в соответствии с законом или договором продавец считается исполнившим свою обязанность по передаче товара покупателю.</w:t>
      </w:r>
    </w:p>
    <w:p>
      <w:pPr>
        <w:spacing w:after="120"/>
        <w:ind w:firstLine="709"/>
      </w:pPr>
      <w:r>
        <w:rPr>
          <w:sz w:val="24"/>
        </w:rPr>
        <w:t xml:space="preserve">2. Риск случайной гибели или случайного повреждения товара, проданного во время его нахождения в пути, переходит на покупателя с момента заключения договора купли-продажи, если иное не предусмотрено таким договором или обычаями делового оборота.</w:t>
      </w:r>
    </w:p>
    <w:p>
      <w:pPr>
        <w:spacing w:after="120"/>
        <w:ind w:firstLine="709"/>
      </w:pPr>
      <w:r>
        <w:rPr>
          <w:sz w:val="24"/>
        </w:rPr>
        <w:t xml:space="preserve">Условие договора о том, что риск случайной гибели или случайного повреждения товара переходит на покупателя с момента сдачи товара первому перевозчику, по требованию покупателя может быть признано судом недействительным, если в момент заключения договора продавец знал или должен был знать, что товар утрачен или поврежден, и не сообщил об этом покупателю.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459</dc:title>
  <dc:creator>АРБИТРАЖ! · arbi.ru</dc:creator>
  <cp:lastModifiedBy>АРБИТРАЖ!</cp:lastModifiedBy>
  <dcterms:created xsi:type="dcterms:W3CDTF">2026-10-22T23:05:44.792Z</dcterms:created>
</cp:coreProperties>
</file>