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465 ГК РФ</w:t>
      </w:r>
    </w:p>
    <w:p>
      <w:pPr>
        <w:spacing w:after="120"/>
        <w:ind w:firstLine="709"/>
      </w:pPr>
      <w:r>
        <w:rPr>
          <w:sz w:val="24"/>
        </w:rPr>
        <w:t xml:space="preserve">- Считается ли условие договора купли-продажи о количестве товара согласованным, если оно отражено в письмах, направленных по электронной почте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465 ГК РФ</w:t>
      </w:r>
    </w:p>
    <w:p>
      <w:pPr>
        <w:spacing w:after="120"/>
        <w:ind w:firstLine="709"/>
      </w:pPr>
      <w:r>
        <w:rPr>
          <w:sz w:val="24"/>
        </w:rPr>
        <w:t xml:space="preserve">1. Количество товара, подлежащего передаче покупателю, предусматривается договором купли-продажи в соответствующих единицах измерения или в денежном выражении. Условие о количестве товара может быть согласовано путем установления в договоре порядка его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Если договор купли-продажи не позволяет определить количество подлежащего передаче товара, договор не считается заключенным.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465</dc:title>
  <dc:creator>АРБИТРАЖ! · arbi.ru</dc:creator>
  <cp:lastModifiedBy>АРБИТРАЖ!</cp:lastModifiedBy>
  <dcterms:created xsi:type="dcterms:W3CDTF">2026-10-22T22:48:12.921Z</dcterms:created>
</cp:coreProperties>
</file>