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471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471 ГК РФ</w:t>
      </w:r>
    </w:p>
    <w:p>
      <w:pPr>
        <w:spacing w:after="120"/>
        <w:ind w:firstLine="709"/>
      </w:pPr>
      <w:r>
        <w:rPr>
          <w:sz w:val="24"/>
        </w:rPr>
        <w:t xml:space="preserve">- Можно ли начало течения гарантийного срока определять по дате передачи транспортного средства, указанной в ПТС, если договором купли-продажи установлено иное начало гарантийного срока</w:t>
      </w:r>
    </w:p>
    <w:p>
      <w:pPr>
        <w:spacing w:after="120"/>
        <w:ind w:firstLine="709"/>
      </w:pPr>
      <w:r>
        <w:rPr>
          <w:sz w:val="24"/>
        </w:rPr>
        <w:t xml:space="preserve">- Пример того, правомерно ли исчисление гарантийного срока при купле-продаже с момента передачи товара покупателю</w:t>
      </w:r>
    </w:p>
    <w:p>
      <w:pPr>
        <w:spacing w:after="120"/>
        <w:ind w:firstLine="709"/>
      </w:pPr>
      <w:r>
        <w:rPr>
          <w:sz w:val="24"/>
        </w:rPr>
        <w:t xml:space="preserve">1. Гарантийный срок начинает течь с момента передачи товара покупателю (статья 457) , если иное не предусмотрено договором купли-продажи.</w:t>
      </w:r>
    </w:p>
    <w:p>
      <w:pPr>
        <w:spacing w:after="120"/>
        <w:ind w:firstLine="709"/>
      </w:pPr>
      <w:r>
        <w:rPr>
          <w:sz w:val="24"/>
        </w:rPr>
        <w:t xml:space="preserve">2. Если покупатель лишен возможности использовать товар, в отношении которого договором установлен гарантийный срок, по обстоятельствам, зависящим от продавца, гарантийный срок не течет до устранения соответствующих обстоятельств продавцом.</w:t>
      </w:r>
    </w:p>
    <w:p>
      <w:pPr>
        <w:spacing w:after="120"/>
        <w:ind w:firstLine="709"/>
      </w:pPr>
      <w:r>
        <w:rPr>
          <w:sz w:val="24"/>
        </w:rPr>
        <w:t xml:space="preserve">Если иное не предусмотрено договором, гарантийный срок продлевается на время, в течение которого товар не мог использоваться из-за обнаруженных в нем недостатков, при условии извещения продавца о недостатках товара в порядке, установленном статьей 483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Если иное не предусмотрено договором купли-продажи, 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изделие.</w:t>
      </w:r>
    </w:p>
    <w:p>
      <w:pPr>
        <w:spacing w:after="120"/>
        <w:ind w:firstLine="709"/>
      </w:pPr>
      <w:r>
        <w:rPr>
          <w:sz w:val="24"/>
        </w:rPr>
        <w:t xml:space="preserve">4. На товар (комплектующее изделие), переданный продавцом взамен товара (комплектующего изделия), в котором в течение гарантийного срока были обнаружены недостатки (статья 476) , устанавливается гарантийный срок той же продолжительности, что и на замененный, если иное не предусмотрено договором купли-продажи.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471</dc:title>
  <dc:creator>АРБИТРАЖ! · arbi.ru</dc:creator>
  <cp:lastModifiedBy>АРБИТРАЖ!</cp:lastModifiedBy>
  <dcterms:created xsi:type="dcterms:W3CDTF">2026-10-22T16:46:08.855Z</dcterms:created>
</cp:coreProperties>
</file>