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472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472 ГК РФ</w:t>
      </w:r>
    </w:p>
    <w:p>
      <w:pPr>
        <w:spacing w:after="120"/>
        <w:ind w:firstLine="709"/>
      </w:pPr>
      <w:r>
        <w:rPr>
          <w:sz w:val="24"/>
        </w:rPr>
        <w:t xml:space="preserve">- Пример того, можно ли отказаться от оплаты товара с истекшим сроком годности по договору купли-продажи, если у покупателя имелась реальная возможность использовать товар по назначению до истечения срока годности</w:t>
      </w:r>
    </w:p>
    <w:p>
      <w:pPr>
        <w:spacing w:after="120"/>
        <w:ind w:firstLine="709"/>
      </w:pPr>
      <w:r>
        <w:rPr>
          <w:sz w:val="24"/>
        </w:rPr>
        <w:t xml:space="preserve">1. Законом или в установленном им порядке может быть предусмотрена обязанность определять срок, по истечении которого товар считается непригодным для использования по назначению (срок годности).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17.12.1999 N 213-ФЗ)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Товар, на который установлен срок годности, продавец обязан передать покупателю с таким расчетом, чтобы он мог быть использован по назначению до истечения срока годности, если иное не предусмотрено договором.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17.12.1999 N 213-ФЗ)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472</dc:title>
  <dc:creator>АРБИТРАЖ! · arbi.ru</dc:creator>
  <cp:lastModifiedBy>АРБИТРАЖ!</cp:lastModifiedBy>
  <dcterms:created xsi:type="dcterms:W3CDTF">2026-10-22T20:22:24.859Z</dcterms:created>
</cp:coreProperties>
</file>