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478 ГК РФ</w:t>
      </w:r>
    </w:p>
    <w:p>
      <w:pPr>
        <w:spacing w:after="120"/>
        <w:ind w:firstLine="709"/>
      </w:pPr>
      <w:r>
        <w:rPr>
          <w:sz w:val="24"/>
        </w:rPr>
        <w:t xml:space="preserve">- Предполагает ли комплектность товара, передаваемого по договору купли-продажи, наличие в нем всех необходимых составных частей</w:t>
      </w:r>
    </w:p>
    <w:p>
      <w:pPr>
        <w:spacing w:after="120"/>
        <w:ind w:firstLine="709"/>
      </w:pPr>
      <w:r>
        <w:rPr>
          <w:sz w:val="24"/>
        </w:rPr>
        <w:t xml:space="preserve">1. Продавец обязан передать покупателю товар, соответствующий условиям договора купли-продажи о комплектности.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договором купли-продажи не определена комплектность товара, продавец обязан передать покупателю товар, комплектность которого определяется обычаями делового оборота или иными обычно предъявляемыми требованиями.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478</dc:title>
  <dc:creator>АРБИТРАЖ! · arbi.ru</dc:creator>
  <cp:lastModifiedBy>АРБИТРАЖ!</cp:lastModifiedBy>
  <dcterms:created xsi:type="dcterms:W3CDTF">2026-10-22T20:23:18.428Z</dcterms:created>
</cp:coreProperties>
</file>