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481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несоответствие тары ГОСТу основанием для признания ее ненадлежащей, если качество тары отвечает условиям договора купли-продажи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481 ГК РФ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купли-продажи и не вытекает из существа обязательства, продавец обязан передать покупателю товар в таре и (или) упаковке, за исключением товара, который по своему характеру не требует затаривания и (или) упаковки.</w:t>
      </w:r>
    </w:p>
    <w:p>
      <w:pPr>
        <w:spacing w:after="120"/>
        <w:ind w:firstLine="709"/>
      </w:pPr>
      <w:r>
        <w:rPr>
          <w:sz w:val="24"/>
        </w:rPr>
        <w:t xml:space="preserve">2. Если договором купли-продажи не определены требования к таре и упаковке, то товар должен быть затарен и (или)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</w:t>
      </w:r>
    </w:p>
    <w:p>
      <w:pPr>
        <w:spacing w:after="120"/>
        <w:ind w:firstLine="709"/>
      </w:pPr>
      <w:r>
        <w:rPr>
          <w:sz w:val="24"/>
        </w:rPr>
        <w:t xml:space="preserve">3. Если в установленном законом порядке предусмотрены обязательные требования к таре и (или) упаковке, то продавец, осуществляющий предпринимательскую деятельность, обязан передать покупателю товар в таре и (или) упаковке, соответствующих этим обязательным требованиям.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481</dc:title>
  <dc:creator>АРБИТРАЖ! · arbi.ru</dc:creator>
  <cp:lastModifiedBy>АРБИТРАЖ!</cp:lastModifiedBy>
  <dcterms:created xsi:type="dcterms:W3CDTF">2026-10-22T22:35:46.682Z</dcterms:created>
</cp:coreProperties>
</file>