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Договором купли-продажи может быть предусмотрена обязанность продавца или покупателя страховать товар.</w:t>
      </w:r>
    </w:p>
    <w:p>
      <w:pPr>
        <w:spacing w:after="120"/>
        <w:ind w:firstLine="709"/>
      </w:pPr>
      <w:r>
        <w:rPr>
          <w:sz w:val="24"/>
        </w:rPr>
        <w:t xml:space="preserve">В случае, когда сторона, обязанная страховать товар, не осуществляет страхование в соответствии с условиями договора,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490</dc:title>
  <dc:creator>АРБИТРАЖ! · arbi.ru</dc:creator>
  <cp:lastModifiedBy>АРБИТРАЖ!</cp:lastModifiedBy>
  <dcterms:created xsi:type="dcterms:W3CDTF">2026-10-22T12:13:00.691Z</dcterms:created>
</cp:coreProperties>
</file>