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493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493 ГК РФ</w:t>
      </w:r>
    </w:p>
    <w:p>
      <w:pPr>
        <w:spacing w:after="120"/>
        <w:ind w:firstLine="709"/>
      </w:pPr>
      <w:r>
        <w:rPr>
          <w:sz w:val="24"/>
        </w:rPr>
        <w:t xml:space="preserve">- Подтверждает ли кассовый чек приобретение контрафактного товара у продавца по договору розничной купли-продажи</w:t>
      </w:r>
    </w:p>
    <w:p>
      <w:pPr>
        <w:spacing w:after="120"/>
        <w:ind w:firstLine="709"/>
      </w:pPr>
      <w:r>
        <w:rPr>
          <w:sz w:val="24"/>
        </w:rPr>
        <w:t xml:space="preserve">- Является ли надлежащим доказательством заключения договора розничной купли-продажи товарный чек, не содержащий реквизитов продавца</w:t>
      </w:r>
    </w:p>
    <w:p>
      <w:pPr>
        <w:spacing w:after="120"/>
        <w:ind w:firstLine="709"/>
      </w:pPr>
      <w:r>
        <w:rPr>
          <w:sz w:val="24"/>
        </w:rPr>
        <w:t xml:space="preserve">- Необходимо ли при розничной купле-продаже пробивать кассовый чек на товар, который выдается на сдачу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законом или договором розничной купли-продажи, в том числе условиями формуляров или иных стандартных форм, к которым присоединяется покупатель (статья 428) , договор розничной купли-продажи считается заключенным в надлежащей форме с момента выдачи продавцом покупателю кассового или товарного чека, электронного или иного документа, подтверждающего оплату товара. Отсутствие у покупателя указанных документов не лишает его возможности ссылаться на свидетельские показания в подтверждение заключения договора и его условий.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18.03.2019 N 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493</dc:title>
  <dc:creator>АРБИТРАЖ! · arbi.ru</dc:creator>
  <cp:lastModifiedBy>АРБИТРАЖ!</cp:lastModifiedBy>
  <dcterms:created xsi:type="dcterms:W3CDTF">2026-10-22T13:37:21.673Z</dcterms:created>
</cp:coreProperties>
</file>