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Договор розничной купли-продажи может быть заключен с условием о принятии покупателем товара в определенный договором срок, в течение которого этот товар не может быть продан другому покупателю.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договором,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договора.</w:t>
      </w:r>
    </w:p>
    <w:p>
      <w:pPr>
        <w:spacing w:after="120"/>
        <w:ind w:firstLine="709"/>
      </w:pPr>
      <w:r>
        <w:rPr>
          <w:sz w:val="24"/>
        </w:rPr>
        <w:t xml:space="preserve">Дополнительные расходы продавца на обеспечение передачи товара покупателю в определенный договором срок включаются в цену товара, если иное не предусмотрено законом, иными правовыми актами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496</dc:title>
  <dc:creator>АРБИТРАЖ! · arbi.ru</dc:creator>
  <cp:lastModifiedBy>АРБИТРАЖ!</cp:lastModifiedBy>
  <dcterms:created xsi:type="dcterms:W3CDTF">2026-10-22T20:21:15.508Z</dcterms:created>
</cp:coreProperties>
</file>