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498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случаях, когда продажа товаров производится с использованием автоматов , владелец автоматов обязан довести до покупателей информацию о продавце товаров путем помещения на автомате или предоставления покупателям иным способом сведений о наименовании (фирменном наименовании) продавца, месте его нахождения, режиме работы, а также о действиях, которые необходимо совершить покупателю для получения товара.</w:t>
      </w:r>
    </w:p>
    <w:p>
      <w:pPr>
        <w:spacing w:after="120"/>
        <w:ind w:firstLine="709"/>
      </w:pPr>
      <w:r>
        <w:rPr>
          <w:sz w:val="24"/>
        </w:rPr>
        <w:t xml:space="preserve">2. Договор розничной купли-продажи с использованием автоматов считается заключенным с момента совершения покупателем действий, необходимых для получения товара.</w:t>
      </w:r>
    </w:p>
    <w:p>
      <w:pPr>
        <w:spacing w:after="120"/>
        <w:ind w:firstLine="709"/>
      </w:pPr>
      <w:r>
        <w:rPr>
          <w:sz w:val="24"/>
        </w:rPr>
        <w:t xml:space="preserve">3. Если покупателю не предоставляется оплаченный товар, продавец обязан по требованию покупателя незамедлительно предоставить покупателю товар или возвратить уплаченную им сумму.</w:t>
      </w:r>
    </w:p>
    <w:p>
      <w:pPr>
        <w:spacing w:after="120"/>
        <w:ind w:firstLine="709"/>
      </w:pPr>
      <w:r>
        <w:rPr>
          <w:sz w:val="24"/>
        </w:rPr>
        <w:t xml:space="preserve">4. В случаях, когда автомат используется для размена денег, приобретения знаков оплаты или обмена валюты, применяются правила о розничной купле-продаже, если иное не вытекает из существа обязательства.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498</dc:title>
  <dc:creator>АРБИТРАЖ! · arbi.ru</dc:creator>
  <cp:lastModifiedBy>АРБИТРАЖ!</cp:lastModifiedBy>
  <dcterms:created xsi:type="dcterms:W3CDTF">2026-10-23T00:33:25.772Z</dcterms:created>
</cp:coreProperties>
</file>