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501 ГК РФ</w:t>
      </w:r>
    </w:p>
    <w:p>
      <w:pPr>
        <w:spacing w:after="120"/>
        <w:ind w:firstLine="709"/>
      </w:pPr>
      <w:r>
        <w:rPr>
          <w:sz w:val="24"/>
        </w:rPr>
        <w:t xml:space="preserve">- Применяются ли к договору найма-продажи здания или сооружения нормы о государственной регистрации договора аренды</w:t>
      </w:r>
    </w:p>
    <w:p>
      <w:pPr>
        <w:spacing w:after="120"/>
        <w:ind w:firstLine="709"/>
      </w:pPr>
      <w:r>
        <w:rPr>
          <w:sz w:val="24"/>
        </w:rPr>
        <w:t xml:space="preserve">Договором может быть предусмотрено, что до перехода права собственности на товар к покупателю (статья 491) покупатель является нанимателем (арендатором) переданного ему товара (договор найма-продажи).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договором, покупатель становится собственником товара с момента оплаты товара.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501</dc:title>
  <dc:creator>АРБИТРАЖ! · arbi.ru</dc:creator>
  <cp:lastModifiedBy>АРБИТРАЖ!</cp:lastModifiedBy>
  <dcterms:created xsi:type="dcterms:W3CDTF">2026-10-22T20:20:52.443Z</dcterms:created>
</cp:coreProperties>
</file>