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517 ГК РФ</w:t>
      </w:r>
    </w:p>
    <w:p>
      <w:pPr>
        <w:spacing w:after="120"/>
        <w:ind w:firstLine="709"/>
      </w:pPr>
      <w:r>
        <w:rPr>
          <w:sz w:val="24"/>
        </w:rPr>
        <w:t xml:space="preserve">- Вправе ли поставщик взыскать с покупателя стоимость многооборотной тары или расходы на ее возврат, если она не была возвращена</w:t>
      </w:r>
    </w:p>
    <w:p>
      <w:pPr>
        <w:spacing w:after="120"/>
        <w:ind w:firstLine="709"/>
      </w:pPr>
      <w:r>
        <w:rPr>
          <w:sz w:val="24"/>
        </w:rPr>
        <w:t xml:space="preserve">Если иное не установлено договором поставки, покупатель (получатель) обязан возвратить поставщику многооборотную тару и средства пакетирования, в которых поступил товар, в порядке и в сроки, установленные законом, иными правовыми актами , принятыми в соответствии с ними обязательными правилами или договором.</w:t>
      </w:r>
    </w:p>
    <w:p>
      <w:pPr>
        <w:spacing w:after="120"/>
        <w:ind w:firstLine="709"/>
      </w:pPr>
      <w:r>
        <w:rPr>
          <w:sz w:val="24"/>
        </w:rPr>
        <w:t xml:space="preserve">Прочая тара, а также упаковка товара подлежат возврату поставщику лишь в случаях, предусмотренных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517</dc:title>
  <dc:creator>АРБИТРАЖ! · arbi.ru</dc:creator>
  <cp:lastModifiedBy>АРБИТРАЖ!</cp:lastModifiedBy>
  <dcterms:created xsi:type="dcterms:W3CDTF">2026-10-22T22:48:21.440Z</dcterms:created>
</cp:coreProperties>
</file>