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521 ГК РФ</w:t>
      </w:r>
    </w:p>
    <w:p>
      <w:pPr>
        <w:spacing w:after="120"/>
        <w:ind w:firstLine="709"/>
      </w:pPr>
      <w:r>
        <w:rPr>
          <w:sz w:val="24"/>
        </w:rPr>
        <w:t xml:space="preserve">- Подлежит ли неустойка за просрочку поставки товара взысканию по истечении срока поставки</w:t>
      </w:r>
    </w:p>
    <w:p>
      <w:pPr>
        <w:spacing w:after="120"/>
        <w:ind w:firstLine="709"/>
      </w:pPr>
      <w:r>
        <w:rPr>
          <w:sz w:val="24"/>
        </w:rPr>
        <w:t xml:space="preserve">- Являются ли договорные пени штрафом, если они не взимаются за каждый день просрочки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предусмотреть взыскание неустойки за просрочку поставки путем ее удержания из оплаты товара</w:t>
      </w:r>
    </w:p>
    <w:p>
      <w:pPr>
        <w:spacing w:after="120"/>
        <w:ind w:firstLine="709"/>
      </w:pPr>
      <w:r>
        <w:rPr>
          <w:sz w:val="24"/>
        </w:rPr>
        <w:t xml:space="preserve">- Считается ли просрочкой своевременная поставка товара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Начисляется ли неустойка за просрочку поставки на всю сумму госконтракта по Закону N 44-ФЗ, если товар поставляется партиями</w:t>
      </w:r>
    </w:p>
    <w:p>
      <w:pPr>
        <w:spacing w:after="120"/>
        <w:ind w:firstLine="709"/>
      </w:pPr>
      <w:r>
        <w:rPr>
          <w:sz w:val="24"/>
        </w:rPr>
        <w:t xml:space="preserve">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поставки, если иной порядок уплаты неустойки не установлен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521</dc:title>
  <dc:creator>АРБИТРАЖ! · arbi.ru</dc:creator>
  <cp:lastModifiedBy>АРБИТРАЖ!</cp:lastModifiedBy>
  <dcterms:created xsi:type="dcterms:W3CDTF">2026-10-22T12:25:36.886Z</dcterms:created>
</cp:coreProperties>
</file>