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524 ГК РФ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с поставщика разницу в цене между расторгнутым и замещающим договорами поставки, если товар со сходными характеристиками приобретен по разумной цене</w:t>
      </w:r>
    </w:p>
    <w:p>
      <w:pPr>
        <w:spacing w:after="120"/>
        <w:ind w:firstLine="709"/>
      </w:pPr>
      <w:r>
        <w:rPr>
          <w:sz w:val="24"/>
        </w:rPr>
        <w:t xml:space="preserve">- Нужно ли при взыскании убытков в связи с расторжением договора поставки доказать, что его сторона принимала меры по заключению новой сделки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524 ГК РФ</w:t>
      </w:r>
    </w:p>
    <w:p>
      <w:pPr>
        <w:spacing w:after="120"/>
        <w:ind w:firstLine="709"/>
      </w:pPr>
      <w:r>
        <w:rPr>
          <w:sz w:val="24"/>
        </w:rPr>
        <w:t xml:space="preserve">1. Если в разумный срок после расторжения договора вследствие нарушения обязательства продавцом покупатель купил у другого лица по более высокой, но разумной цене товар взамен предусмотренного договором,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сделке.</w:t>
      </w:r>
    </w:p>
    <w:p>
      <w:pPr>
        <w:spacing w:after="120"/>
        <w:ind w:firstLine="709"/>
      </w:pPr>
      <w:r>
        <w:rPr>
          <w:sz w:val="24"/>
        </w:rPr>
        <w:t xml:space="preserve">2. Если в разумный срок после расторжения договора вследствие нарушения обязательства покупателем продавец продал товар другому лицу по более низкой, чем предусмотренная договором, но разумной цене,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сделке.</w:t>
      </w:r>
    </w:p>
    <w:p>
      <w:pPr>
        <w:spacing w:after="120"/>
        <w:ind w:firstLine="709"/>
      </w:pPr>
      <w:r>
        <w:rPr>
          <w:sz w:val="24"/>
        </w:rPr>
        <w:t xml:space="preserve">3. Если после расторжения договора по основаниям, предусмотренным пунктами 1 и 2 настоящей статьи, не совершена сделка взамен расторгнутого договора и на данный товар имеется текущая цена, сторона может предъявить требование о возмещении убытков в виде разницы между ценой, установленной в договоре, и текущей ценой на момент расторжения договора.</w:t>
      </w:r>
    </w:p>
    <w:p>
      <w:pPr>
        <w:spacing w:after="120"/>
        <w:ind w:firstLine="709"/>
      </w:pPr>
      <w:r>
        <w:rPr>
          <w:sz w:val="24"/>
        </w:rPr>
        <w:t xml:space="preserve">Текущей ценой признается цена, обычно взимавшаяся при сравнимых обстоятельствах за аналогичный товар в месте, где должна была быть осуществлена передача товара. Если в этом месте не существует текущей цены, может быть использована текущая цена, применявшаяся в другом месте, которое может служить разумной заменой, с учетом разницы в расходах по транспортировке товара.</w:t>
      </w:r>
    </w:p>
    <w:p>
      <w:pPr>
        <w:spacing w:after="120"/>
        <w:ind w:firstLine="709"/>
      </w:pPr>
      <w:r>
        <w:rPr>
          <w:sz w:val="24"/>
        </w:rPr>
        <w:t xml:space="preserve">4. Удовлетворение требований, предусмотренных пунктами 1 , 2 и 3 настоящей статьи, не освобождает сторону, не исполнившую или ненадлежаще исполнившую обязательство, от возмещения иных убытков, причиненных другой стороне, на основании статьи 15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4. Поставка товаров для государственных или муниципальных нужд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524</dc:title>
  <dc:creator>АРБИТРАЖ! · arbi.ru</dc:creator>
  <cp:lastModifiedBy>АРБИТРАЖ!</cp:lastModifiedBy>
  <dcterms:created xsi:type="dcterms:W3CDTF">2026-10-22T23:40:15.375Z</dcterms:created>
</cp:coreProperties>
</file>