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528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528 ГК РФ</w:t>
      </w:r>
    </w:p>
    <w:p>
      <w:pPr>
        <w:spacing w:after="120"/>
        <w:ind w:firstLine="709"/>
      </w:pPr>
      <w:r>
        <w:rPr>
          <w:sz w:val="24"/>
        </w:rPr>
        <w:t xml:space="preserve">- Заказчик хочет обязать исполнителя заключить контракт на оказание услуг для государственных или муниципальных нужд</w:t>
      </w:r>
    </w:p>
    <w:p>
      <w:pPr>
        <w:spacing w:after="120"/>
        <w:ind w:firstLine="709"/>
      </w:pPr>
      <w:r>
        <w:rPr>
          <w:sz w:val="24"/>
        </w:rPr>
        <w:t xml:space="preserve">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528</dc:title>
  <dc:creator>АРБИТРАЖ! · arbi.ru</dc:creator>
  <cp:lastModifiedBy>АРБИТРАЖ!</cp:lastModifiedBy>
  <dcterms:created xsi:type="dcterms:W3CDTF">2026-10-23T00:44:35.793Z</dcterms:created>
</cp:coreProperties>
</file>