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531</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Ситуации, связанные со ст. 531 ГК РФ</w:t>
      </w:r>
    </w:p>
    <w:p>
      <w:pPr>
        <w:spacing w:after="120"/>
        <w:ind w:firstLine="709"/>
      </w:pPr>
      <w:r>
        <w:rPr>
          <w:sz w:val="24"/>
        </w:rPr>
        <w:t xml:space="preserve">- Заказчик хочет взыскать неустойку (штраф, пени) в связи с непоставкой (недопоставкой) товара</w:t>
      </w:r>
    </w:p>
    <w:p>
      <w:pPr>
        <w:spacing w:after="120"/>
        <w:ind w:firstLine="709"/>
      </w:pPr>
      <w:r>
        <w:rPr>
          <w:sz w:val="24"/>
        </w:rPr>
        <w:t xml:space="preserve">1. В случаях, когда в соответствии с условиями государственного или муниципального контракта поставка товаров осуществляется непосредственно государственному или муниципальному заказчику или по его указанию (отгрузочной разнарядке) другому лицу (получателю), отношения сторон по исполнению государственного или муниципального контракта регулируются правилами, предусмотренными статьями 506 - 522 настоящего Кодекса.</w:t>
      </w:r>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2. В случаях, когда поставка товаров для государственных или муниципальных нужд осуществляется получателем, указанным в отгрузочной разнарядке, оплата товаров производится государственным или муниципальным заказчиком, если иной порядок расчетов не предусмотрен государственным или муниципальным контрактом.</w:t>
      </w:r>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531</dc:title>
  <dc:creator>АРБИТРАЖ! · arbi.ru</dc:creator>
  <cp:lastModifiedBy>АРБИТРАЖ!</cp:lastModifiedBy>
  <dcterms:created xsi:type="dcterms:W3CDTF">2026-10-22T22:47:35.812Z</dcterms:created>
</cp:coreProperties>
</file>