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533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533 ГК РФ</w:t>
      </w:r>
    </w:p>
    <w:p>
      <w:pPr>
        <w:spacing w:after="120"/>
        <w:ind w:firstLine="709"/>
      </w:pPr>
      <w:r>
        <w:rPr>
          <w:sz w:val="24"/>
        </w:rPr>
        <w:t xml:space="preserve">- Поставщик хочет взыскать убытки, причиненные отказом заказчика принять товар</w:t>
      </w:r>
    </w:p>
    <w:p>
      <w:pPr>
        <w:spacing w:after="120"/>
        <w:ind w:firstLine="709"/>
      </w:pPr>
      <w:r>
        <w:rPr>
          <w:sz w:val="24"/>
        </w:rPr>
        <w:t xml:space="preserve">1. Если иное не предусмотрено законом либо государственным или муниципальным контрактом, убытки, которые причинены поставщику (исполнителю) в связи с выполнением государственного или муниципального контракта (пункт 2 статьи 527) , подлежат возмещению государственным или муниципальным заказчиком не позднее тридцати дней со дня передачи товара в соответствии с государственным или муниципальным контрактом.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случае, когда убытки, причиненные поставщику (исполнителю) в связи с выполнением государственного или муниципального контракта, не возмещаются в соответствии с государственным или муниципальным контрактом, поставщик (исполнитель) вправе отказаться от исполнения государственного или муниципального контракта и потребовать возмещения убытков, вызванных расторжением государственного или муниципального контракта.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При расторжении государственного или муниципального контракта по основаниям, указанным в пункте 2 настоящей статьи, поставщик вправе отказаться от исполнения договора поставки товара для государственных или муниципальных нужд.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Убытки, причиненные покупателю таким отказом поставщика, возмещаются государственным или муниципальным заказчиком.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533</dc:title>
  <dc:creator>АРБИТРАЖ! · arbi.ru</dc:creator>
  <cp:lastModifiedBy>АРБИТРАЖ!</cp:lastModifiedBy>
  <dcterms:created xsi:type="dcterms:W3CDTF">2026-10-22T20:25:33.608Z</dcterms:created>
</cp:coreProperties>
</file>