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534</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534 ГК РФ</w:t>
      </w:r>
    </w:p>
    <w:p>
      <w:pPr>
        <w:spacing w:after="120"/>
        <w:ind w:firstLine="709"/>
      </w:pPr>
      <w:r>
        <w:rPr>
          <w:sz w:val="24"/>
        </w:rPr>
        <w:t xml:space="preserve">- Поставщик хочет взыскать убытки, причиненные отказом заказчика принять товар</w:t>
      </w:r>
    </w:p>
    <w:p>
      <w:pPr>
        <w:spacing w:after="120"/>
        <w:ind w:firstLine="709"/>
      </w:pPr>
      <w:r>
        <w:rPr>
          <w:sz w:val="24"/>
        </w:rPr>
        <w:t xml:space="preserve">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 5. Контрактация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534</dc:title>
  <dc:creator>АРБИТРАЖ! · arbi.ru</dc:creator>
  <cp:lastModifiedBy>АРБИТРАЖ!</cp:lastModifiedBy>
  <dcterms:created xsi:type="dcterms:W3CDTF">2026-10-22T19:08:28.270Z</dcterms:created>
</cp:coreProperties>
</file>