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534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534 ГК РФ</w:t>
      </w:r>
    </w:p>
    <w:p>
      <w:pPr>
        <w:spacing w:after="120"/>
        <w:ind w:firstLine="709"/>
      </w:pPr>
      <w:r>
        <w:rPr>
          <w:sz w:val="24"/>
        </w:rPr>
        <w:t xml:space="preserve">- Поставщик хочет взыскать убытки, причиненные отказом заказчика принять товар</w:t>
      </w:r>
    </w:p>
    <w:p>
      <w:pPr>
        <w:spacing w:after="120"/>
        <w:ind w:firstLine="709"/>
      </w:pPr>
      <w:r>
        <w:rPr>
          <w:sz w:val="24"/>
        </w:rPr>
        <w:t xml:space="preserve">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 5. Контрактация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534</dc:title>
  <dc:creator>АРБИТРАЖ! · arbi.ru</dc:creator>
  <cp:lastModifiedBy>АРБИТРАЖ!</cp:lastModifiedBy>
  <dcterms:created xsi:type="dcterms:W3CDTF">2026-10-22T22:46:31.066Z</dcterms:created>
</cp:coreProperties>
</file>