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контрактации производитель сельскохозяйственной продукции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продажи.</w:t>
      </w:r>
    </w:p>
    <w:p>
      <w:pPr>
        <w:spacing w:after="120"/>
        <w:ind w:firstLine="709"/>
      </w:pPr>
      <w:r>
        <w:rPr>
          <w:sz w:val="24"/>
        </w:rPr>
        <w:t xml:space="preserve">2. К отношениям по договору контрактации, не урегулированным правилами настоящего параграфа, применяются правила о договоре поставки ( статьи 506 - 524 ), а в соответствующих случаях о поставке товаров для государственных нужд ( статьи 525 - 534 ).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535</dc:title>
  <dc:creator>АРБИТРАЖ! · arbi.ru</dc:creator>
  <cp:lastModifiedBy>АРБИТРАЖ!</cp:lastModifiedBy>
  <dcterms:created xsi:type="dcterms:W3CDTF">2026-10-22T22:46:36.578Z</dcterms:created>
</cp:coreProperties>
</file>