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540 ГК РФ</w:t>
      </w:r>
    </w:p>
    <w:p>
      <w:pPr>
        <w:spacing w:after="120"/>
        <w:ind w:firstLine="709"/>
      </w:pPr>
      <w:r>
        <w:rPr>
          <w:sz w:val="24"/>
        </w:rPr>
        <w:t xml:space="preserve">- Абонент не оплатил начисленную ему плату за услуги водоотведения в отношении общедомовых нужд, за которые взимание платы не допускается, и хочет обязать Организацию ВКХ произвести перерасчет</w:t>
      </w:r>
    </w:p>
    <w:p>
      <w:pPr>
        <w:spacing w:after="120"/>
        <w:ind w:firstLine="709"/>
      </w:pPr>
      <w:r>
        <w:rPr>
          <w:sz w:val="24"/>
        </w:rPr>
        <w:t xml:space="preserve">1. В случае, когда абонентом по договору энергоснабжения выступает гражданин, использующий энергию для бытового потребления, договор считается заключенным с момента первого фактического подключения абонента в установленном порядке к присоединенной сети.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соглашением сторон, такой договор считается заключенным на неопределенный срок и может быть изменен или расторгнут по основаниям, предусмотренным статьей 546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Договор энергоснабжения, заключенный на определенный срок, считается продленным на тот же срок и на тех же условиях, если до окончания срока его действия ни одна из сторон не заявит о его прекращении или изменении либо о заключении нового договора.</w:t>
      </w:r>
    </w:p>
    <w:p>
      <w:pPr>
        <w:spacing w:after="120"/>
        <w:ind w:firstLine="709"/>
      </w:pPr>
      <w:r>
        <w:rPr>
          <w:sz w:val="24"/>
        </w:rPr>
        <w:t xml:space="preserve">3. Если одной из сторон до окончания срока действия договора внесено предложение о заключении нового договора, то отношения сторон до заключения нового договора регулируются ранее заключенным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540</dc:title>
  <dc:creator>АРБИТРАЖ! · arbi.ru</dc:creator>
  <cp:lastModifiedBy>АРБИТРАЖ!</cp:lastModifiedBy>
  <dcterms:created xsi:type="dcterms:W3CDTF">2026-10-22T20:23:44.197Z</dcterms:created>
</cp:coreProperties>
</file>