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542 ГК РФ</w:t>
      </w:r>
    </w:p>
    <w:p>
      <w:pPr>
        <w:spacing w:after="120"/>
        <w:ind w:firstLine="709"/>
      </w:pPr>
      <w:r>
        <w:rPr>
          <w:sz w:val="24"/>
        </w:rPr>
        <w:t xml:space="preserve">- Потребитель хочет обязать ТСО обеспечить качественное теплоснабжение, так как ТСО поставила по договору тепловую энергию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1. Качество подаваемой энергии должно соответствовать требованиям, установленным в соответствии с законодательством Российской Федерации, в том числе с обязательными правилами, или предусмотренным договором энергоснабжения.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26.03.2003 N 37-ФЗ , от 19.07.2011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абонентом стоимости того, что абонент неосновательно сберег вследствие использования этой энергии (пункт 2 статьи 1105)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542</dc:title>
  <dc:creator>АРБИТРАЖ! · arbi.ru</dc:creator>
  <cp:lastModifiedBy>АРБИТРАЖ!</cp:lastModifiedBy>
  <dcterms:created xsi:type="dcterms:W3CDTF">2026-10-22T17:24:57.822Z</dcterms:created>
</cp:coreProperties>
</file>