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542 ГК РФ</w:t>
      </w:r>
    </w:p>
    <w:p>
      <w:pPr>
        <w:spacing w:after="120"/>
        <w:ind w:firstLine="709"/>
      </w:pPr>
      <w:r>
        <w:rPr>
          <w:sz w:val="24"/>
        </w:rPr>
        <w:t xml:space="preserve">- Потребитель хочет обязать ТСО обеспечить качественное теплоснабжение, так как ТСО поставила по договору тепловую энергию ненадлежащего качества</w:t>
      </w:r>
    </w:p>
    <w:p>
      <w:pPr>
        <w:spacing w:after="120"/>
        <w:ind w:firstLine="709"/>
      </w:pPr>
      <w:r>
        <w:rPr>
          <w:sz w:val="24"/>
        </w:rPr>
        <w:t xml:space="preserve">1. Качество подаваемой энергии должно соответствовать требованиям, установленным в соответствии с законодательством Российской Федерации, в том числе с обязательными правилами, или предусмотренным договором энергоснабжения.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26.03.2003 N 37-ФЗ , от 19.07.2011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нарушения энергоснабжающей организацией требований, предъявляемых к качеству энергии, абонент вправе отказаться от оплаты такой энергии. При этом энергоснабжающая организация вправе требовать возмещения абонентом стоимости того, что абонент неосновательно сберег вследствие использования этой энергии (пункт 2 статьи 1105)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542</dc:title>
  <dc:creator>АРБИТРАЖ! · arbi.ru</dc:creator>
  <cp:lastModifiedBy>АРБИТРАЖ!</cp:lastModifiedBy>
  <dcterms:created xsi:type="dcterms:W3CDTF">2026-10-22T22:48:27.960Z</dcterms:created>
</cp:coreProperties>
</file>