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543 ГК РФ</w:t>
      </w:r>
    </w:p>
    <w:p>
      <w:pPr>
        <w:spacing w:after="120"/>
        <w:ind w:firstLine="709"/>
      </w:pPr>
      <w:r>
        <w:rPr>
          <w:sz w:val="24"/>
        </w:rPr>
        <w:t xml:space="preserve">- Сетевая организация хочет взыскать задолженность по оплате оказанных по договору услуг по передаче электрической энергии в случае безучетного потребления электрической энергии</w:t>
      </w:r>
    </w:p>
    <w:p>
      <w:pPr>
        <w:spacing w:after="120"/>
        <w:ind w:firstLine="709"/>
      </w:pPr>
      <w:r>
        <w:rPr>
          <w:sz w:val="24"/>
        </w:rPr>
        <w:t xml:space="preserve">1. Абонент обязан обеспечивать надлежащее техническое состояние и безопасность эксплуатируемых энергетических сетей, приборов и оборудования, соблюдать установленный режим потребления энергии, а также немедленно сообщать энергоснабжающей организации об авариях, о пожарах, неисправностях приборов учета энергии и об иных нарушениях, возникающих при пользовании энергией.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абонентом по договору энергоснабжения выступает гражданин, использующий энергию для бытового потребления, обязанность обеспечивать надлежащее техническое состояние и безопасность энергетических сетей, а также приборов учета потребления энергии возлагается на энергоснабжающую организацию, если иное не установлено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3. Требования к техническому состоянию и эксплуатации энергетических сетей, приборов и оборудования, а также порядок осуществления контроля за их соблюдением определяются законом , иными правовыми актами и принятыми в соответствии с ними обязательными правилами.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543</dc:title>
  <dc:creator>АРБИТРАЖ! · arbi.ru</dc:creator>
  <cp:lastModifiedBy>АРБИТРАЖ!</cp:lastModifiedBy>
  <dcterms:created xsi:type="dcterms:W3CDTF">2026-10-22T20:23:47.702Z</dcterms:created>
</cp:coreProperties>
</file>