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545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Абонент хочет взыскать с организации ВКХ возникшие убытки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ВКХ хочет взыскать задолженность за подключение и пользование централизованной системой холодного водоснабжения в отсутствие договора</w:t>
      </w:r>
    </w:p>
    <w:p>
      <w:pPr>
        <w:spacing w:after="120"/>
        <w:ind w:firstLine="709"/>
      </w:pPr>
      <w:r>
        <w:rPr>
          <w:sz w:val="24"/>
        </w:rPr>
        <w:t xml:space="preserve">Абонент может передавать энергию, принятую им от энергоснабжающей организации через присоединенную сеть, другому лицу (субабоненту) только с согласия энергоснабжающей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545</dc:title>
  <dc:creator>АРБИТРАЖ! · arbi.ru</dc:creator>
  <cp:lastModifiedBy>АРБИТРАЖ!</cp:lastModifiedBy>
  <dcterms:created xsi:type="dcterms:W3CDTF">2026-10-23T00:44:40.329Z</dcterms:created>
</cp:coreProperties>
</file>