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549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549 ГК РФ</w:t>
      </w:r>
    </w:p>
    <w:p>
      <w:pPr>
        <w:spacing w:after="120"/>
        <w:ind w:firstLine="709"/>
      </w:pPr>
      <w:r>
        <w:rPr>
          <w:sz w:val="24"/>
        </w:rPr>
        <w:t xml:space="preserve">- Признается ли заключенным договор купли-продажи недвижимости, если он исполнялся, но стороны не согласовали условие о цене</w:t>
      </w:r>
    </w:p>
    <w:p>
      <w:pPr>
        <w:spacing w:after="120"/>
        <w:ind w:firstLine="709"/>
      </w:pPr>
      <w:r>
        <w:rPr>
          <w:sz w:val="24"/>
        </w:rPr>
        <w:t xml:space="preserve">- Является ли договором купли-продажи будущей недвижимости предварительный договор, содержащий условие о выплате всей цены или ее существенной части до заключения основного договора</w:t>
      </w:r>
    </w:p>
    <w:p>
      <w:pPr>
        <w:spacing w:after="120"/>
        <w:ind w:firstLine="709"/>
      </w:pPr>
      <w:r>
        <w:rPr>
          <w:sz w:val="24"/>
        </w:rPr>
        <w:t xml:space="preserve">- Вправе ли собственник недвижимости требовать перевода на него прав и обязанностей покупателя земельного участка, если при купле-продаже участка ему не предоставили преимущественное право покупки</w:t>
      </w:r>
    </w:p>
    <w:p>
      <w:pPr>
        <w:spacing w:after="120"/>
        <w:ind w:firstLine="709"/>
      </w:pPr>
      <w:r>
        <w:rPr>
          <w:sz w:val="24"/>
        </w:rPr>
        <w:t xml:space="preserve">- Является ли неоплата или неполная оплата недвижимости существенным нарушением договора купли-продажи</w:t>
      </w:r>
    </w:p>
    <w:p>
      <w:pPr>
        <w:spacing w:after="120"/>
        <w:ind w:firstLine="709"/>
      </w:pPr>
      <w:r>
        <w:rPr>
          <w:sz w:val="24"/>
        </w:rPr>
        <w:t xml:space="preserve">- Обладает ли собственник объекта незавершенного строительства исключительным правом на приобретение земельного участка по договору купли-продажи</w:t>
      </w:r>
    </w:p>
    <w:p>
      <w:pPr>
        <w:spacing w:after="120"/>
        <w:ind w:firstLine="709"/>
      </w:pPr>
      <w:r>
        <w:rPr>
          <w:sz w:val="24"/>
        </w:rPr>
        <w:t xml:space="preserve">- Признается ли асфальтовое, бетонное или иное покрытие объектом недвижимости при купле-продаже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549 ГК РФ</w:t>
      </w:r>
    </w:p>
    <w:p>
      <w:pPr>
        <w:spacing w:after="120"/>
        <w:ind w:firstLine="709"/>
      </w:pPr>
      <w:r>
        <w:rPr>
          <w:sz w:val="24"/>
        </w:rPr>
        <w:t xml:space="preserve">1. По договору купли-продажи недвижимого имущества (договору продажи недвижимости) продавец обязуется передать в собственность покупателя земельный участок, здание, сооружение, квартиру или другое недвижимое имущество (статья 130) .</w:t>
      </w:r>
    </w:p>
    <w:p>
      <w:pPr>
        <w:spacing w:after="120"/>
        <w:ind w:firstLine="709"/>
      </w:pPr>
      <w:r>
        <w:rPr>
          <w:sz w:val="24"/>
        </w:rPr>
        <w:t xml:space="preserve">2. Правила, предусмотренные настоящим параграфом, применяются к продаже предприятий постольку, поскольку иное не предусмотрено правилами о договоре продажи предприятия ( статьи 559 - 566 ).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549</dc:title>
  <dc:creator>АРБИТРАЖ! · arbi.ru</dc:creator>
  <cp:lastModifiedBy>АРБИТРАЖ!</cp:lastModifiedBy>
  <dcterms:created xsi:type="dcterms:W3CDTF">2026-10-22T11:17:13.237Z</dcterms:created>
</cp:coreProperties>
</file>