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550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550 ГК РФ</w:t>
      </w:r>
    </w:p>
    <w:p>
      <w:pPr>
        <w:spacing w:after="120"/>
        <w:ind w:firstLine="709"/>
      </w:pPr>
      <w:r>
        <w:rPr>
          <w:sz w:val="24"/>
        </w:rPr>
        <w:t xml:space="preserve">- Какими нормами, по мнению судов, регулируется заключение договора купли-продажи доли в праве общей собственности на недвижимость</w:t>
      </w:r>
    </w:p>
    <w:p>
      <w:pPr>
        <w:spacing w:after="120"/>
        <w:ind w:firstLine="709"/>
      </w:pPr>
      <w:r>
        <w:rPr>
          <w:sz w:val="24"/>
        </w:rPr>
        <w:t xml:space="preserve">- Все вопросы по ст. 550 ГК РФ</w:t>
      </w:r>
    </w:p>
    <w:p>
      <w:pPr>
        <w:spacing w:after="120"/>
        <w:ind w:firstLine="709"/>
      </w:pPr>
      <w:r>
        <w:rPr>
          <w:sz w:val="24"/>
        </w:rPr>
        <w:t xml:space="preserve">Договор продажи недвижимости заключается в письменной форме путем составления одного документа, подписанного сторонами (пункт 2 статьи 434) .</w:t>
      </w:r>
    </w:p>
    <w:p>
      <w:pPr>
        <w:spacing w:after="120"/>
        <w:ind w:firstLine="709"/>
      </w:pPr>
      <w:r>
        <w:rPr>
          <w:sz w:val="24"/>
        </w:rPr>
        <w:t xml:space="preserve">Несоблюдение формы договора продажи недвижимости влечет его недействительность.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550</dc:title>
  <dc:creator>АРБИТРАЖ! · arbi.ru</dc:creator>
  <cp:lastModifiedBy>АРБИТРАЖ!</cp:lastModifiedBy>
  <dcterms:created xsi:type="dcterms:W3CDTF">2026-10-22T16:47:17.734Z</dcterms:created>
</cp:coreProperties>
</file>