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555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555 ГК РФ</w:t>
      </w:r>
    </w:p>
    <w:p>
      <w:pPr>
        <w:spacing w:after="120"/>
        <w:ind w:firstLine="709"/>
      </w:pPr>
      <w:r>
        <w:rPr>
          <w:sz w:val="24"/>
        </w:rPr>
        <w:t xml:space="preserve">- Можно ли изменить цену недвижимости по допсоглашению к договору купли-продажи, подписанного после регистрации перехода права собственности</w:t>
      </w:r>
    </w:p>
    <w:p>
      <w:pPr>
        <w:spacing w:after="120"/>
        <w:ind w:firstLine="709"/>
      </w:pPr>
      <w:r>
        <w:rPr>
          <w:sz w:val="24"/>
        </w:rPr>
        <w:t xml:space="preserve">- Допускается ли уменьшить на сумму НДС согласованную в договоре купли-продажи цену недвижимости, в которую сумма налога не включалась</w:t>
      </w:r>
    </w:p>
    <w:p>
      <w:pPr>
        <w:spacing w:after="120"/>
        <w:ind w:firstLine="709"/>
      </w:pPr>
      <w:r>
        <w:rPr>
          <w:sz w:val="24"/>
        </w:rPr>
        <w:t xml:space="preserve">- Свидетельствует ли о несогласованности условия о цене недвижимости несовпадение сведений о цене в договоре купли-продажи и графике платежей</w:t>
      </w:r>
    </w:p>
    <w:p>
      <w:pPr>
        <w:spacing w:after="120"/>
        <w:ind w:firstLine="709"/>
      </w:pPr>
      <w:r>
        <w:rPr>
          <w:sz w:val="24"/>
        </w:rPr>
        <w:t xml:space="preserve">- Подтверждает ли оплату недвижимости наличие в договоре купли-продажи условия о произведенных расчетах</w:t>
      </w:r>
    </w:p>
    <w:p>
      <w:pPr>
        <w:spacing w:after="120"/>
        <w:ind w:firstLine="709"/>
      </w:pPr>
      <w:r>
        <w:rPr>
          <w:sz w:val="24"/>
        </w:rPr>
        <w:t xml:space="preserve">- Определяется ли в договоре купли-продажи цена публичного земельного участка, выкупаемого собственником расположенных на нем зданий, на момент подачи заявления о выкупе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555 ГК РФ</w:t>
      </w:r>
    </w:p>
    <w:p>
      <w:pPr>
        <w:spacing w:after="120"/>
        <w:ind w:firstLine="709"/>
      </w:pPr>
      <w:r>
        <w:rPr>
          <w:sz w:val="24"/>
        </w:rPr>
        <w:t xml:space="preserve">1. Договор продажи недвижимости должен предусматривать цену этого имущества.</w:t>
      </w:r>
    </w:p>
    <w:p>
      <w:pPr>
        <w:spacing w:after="120"/>
        <w:ind w:firstLine="709"/>
      </w:pPr>
      <w:r>
        <w:rPr>
          <w:sz w:val="24"/>
        </w:rPr>
        <w:t xml:space="preserve">При отсутствии в договоре согласованного сторонами в письменной форме условия о цене недвижимости договор о ее продаже считается незаключенным. При этом правила определения цены, предусмотренные пунктом 3 статьи 424 настоящего Кодекса, не применяются.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законом или договором продажи недвижимости, установленная в нем цена здания, сооружения или другого недвижимого имущества, находящегося на земельном участке, включает цену передаваемой с этим недвижимым имуществом соответствующей части земельного участка или права на нее.</w:t>
      </w:r>
    </w:p>
    <w:p>
      <w:pPr>
        <w:spacing w:after="120"/>
        <w:ind w:firstLine="709"/>
      </w:pPr>
      <w:r>
        <w:rPr>
          <w:sz w:val="24"/>
        </w:rPr>
        <w:t xml:space="preserve">3. В случаях, когда цена недвижимости в договоре продажи недвижимости установлена на единицу ее площади или иного показателя ее размера, общая цена такого недвижимого имущества, подлежащая уплате, определяется исходя из фактического размера переданного покупателю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555</dc:title>
  <dc:creator>АРБИТРАЖ! · arbi.ru</dc:creator>
  <cp:lastModifiedBy>АРБИТРАЖ!</cp:lastModifiedBy>
  <dcterms:created xsi:type="dcterms:W3CDTF">2026-10-22T20:55:47.929Z</dcterms:created>
</cp:coreProperties>
</file>