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557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Путеводитель по судебной практике (высшие суды и арбитражные суды округов) по ст. 557 ГК РФ</w:t>
      </w:r>
    </w:p>
    <w:p>
      <w:pPr>
        <w:spacing w:after="120"/>
        <w:ind w:firstLine="709"/>
      </w:pPr>
      <w:r>
        <w:rPr>
          <w:sz w:val="24"/>
        </w:rPr>
        <w:t xml:space="preserve">- Применяются ли к отношениям купли-продажи недвижимости положения о сроках обнаружения недостатков переданного товара</w:t>
      </w:r>
    </w:p>
    <w:p>
      <w:pPr>
        <w:spacing w:after="120"/>
        <w:ind w:firstLine="709"/>
      </w:pPr>
      <w:r>
        <w:rPr>
          <w:sz w:val="24"/>
        </w:rPr>
        <w:t xml:space="preserve">- Применяются ли нормы о последствиях передачи недвижимости ненадлежащего качества, если в договоре купли-продажи не согласовано условие о качестве недвижимого имущества</w:t>
      </w:r>
    </w:p>
    <w:p>
      <w:pPr>
        <w:spacing w:after="120"/>
        <w:ind w:firstLine="709"/>
      </w:pPr>
      <w:r>
        <w:rPr>
          <w:sz w:val="24"/>
        </w:rPr>
        <w:t xml:space="preserve">В случае передачи продавцом покупателю недвижимости, не соответствующей условиям договора продажи недвижимости о ее качестве, применяются правила статьи 475 настоящего Кодекса, за исключением положений о праве покупателя потребовать замены товара ненадлежащего качества на товар, соответствующий договору.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557</dc:title>
  <dc:creator>АРБИТРАЖ! · arbi.ru</dc:creator>
  <cp:lastModifiedBy>АРБИТРАЖ!</cp:lastModifiedBy>
  <dcterms:created xsi:type="dcterms:W3CDTF">2026-10-22T19:08:03.114Z</dcterms:created>
</cp:coreProperties>
</file>