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продажи предприятия заключается в письменной форме путем составления одного документа, подписанного сторонами (пункт 2 статьи 434) , с обязательным приложением к нему документов, указанных в пункте 2 статьи 561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Несоблюдение формы договора продажи предприятия влечет его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 продажи предприятия не требует госрегистрации, если он заключен после 01.03.2013. Переход права собственности на недвижимость подлежит госрегистрации (ФЗ от 30.12.2012 N 302-ФЗ ).</w:t>
      </w:r>
    </w:p>
    <w:p>
      <w:pPr>
        <w:spacing w:after="120"/>
        <w:ind w:firstLine="709"/>
      </w:pPr>
      <w:r>
        <w:rPr>
          <w:sz w:val="24"/>
        </w:rPr>
        <w:t xml:space="preserve">3. Договор продажи предприятия подлежит государственной регистрации и считается заключенным с момента такой регистрации.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560</dc:title>
  <dc:creator>АРБИТРАЖ! · arbi.ru</dc:creator>
  <cp:lastModifiedBy>АРБИТРАЖ!</cp:lastModifiedBy>
  <dcterms:created xsi:type="dcterms:W3CDTF">2026-10-22T20:24:50.095Z</dcterms:created>
</cp:coreProperties>
</file>