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564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Право собственности на предприятие переходит к покупателю с момента государственной регистрации этого права.</w:t>
      </w:r>
    </w:p>
    <w:p>
      <w:pPr>
        <w:spacing w:after="120"/>
        <w:ind w:firstLine="709"/>
      </w:pPr>
      <w:r>
        <w:rPr>
          <w:sz w:val="24"/>
        </w:rPr>
        <w:t xml:space="preserve">2. Если иное не предусмотрено договором продажи предприятия, право собственности на предприятие переходит к покупателю и подлежит государственной регистрации непосредственно после передачи предприятия покупателю (статья 563) .</w:t>
      </w:r>
    </w:p>
    <w:p>
      <w:pPr>
        <w:spacing w:after="120"/>
        <w:ind w:firstLine="709"/>
      </w:pPr>
      <w:r>
        <w:rPr>
          <w:sz w:val="24"/>
        </w:rPr>
        <w:t xml:space="preserve">3. В случаях, когда договором предусмотрено сохранение за продавцом права собственности на предприятие, переданное покупателю, до оплаты предприятия или до наступления иных обстоятельств, покупатель вправе до перехода к нему права собственности распоряжаться имуществом и правами, входящими в состав переданного предприятия, в той мере, в какой это необходимо для целей, для которых предприятие было приобретено.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564</dc:title>
  <dc:creator>АРБИТРАЖ! · arbi.ru</dc:creator>
  <cp:lastModifiedBy>АРБИТРАЖ!</cp:lastModifiedBy>
  <dcterms:created xsi:type="dcterms:W3CDTF">2026-10-22T12:27:01.845Z</dcterms:created>
</cp:coreProperties>
</file>