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Права одаряемого, которому по договору дарения обещан дар, не переходят к его наследникам (правопреемникам), если иное не предусмотрено договором дарения.</w:t>
      </w:r>
    </w:p>
    <w:p>
      <w:pPr>
        <w:spacing w:after="120"/>
        <w:ind w:firstLine="709"/>
      </w:pPr>
      <w:r>
        <w:rPr>
          <w:sz w:val="24"/>
        </w:rPr>
        <w:t xml:space="preserve">2. Обязанности дарителя, обещавшего дарение, переходят к его наследникам (правопреемникам), если иное не предусмотрено договором дарения.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581</dc:title>
  <dc:creator>АРБИТРАЖ! · arbi.ru</dc:creator>
  <cp:lastModifiedBy>АРБИТРАЖ!</cp:lastModifiedBy>
  <dcterms:created xsi:type="dcterms:W3CDTF">2026-10-23T01:56:59.981Z</dcterms:created>
</cp:coreProperties>
</file>