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ренты одна сторона (получатель ренты) передает другой стороне (плательщику ренты) в собственность имущество,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форме.</w:t>
      </w:r>
    </w:p>
    <w:p>
      <w:pPr>
        <w:spacing w:after="120"/>
        <w:ind w:firstLine="709"/>
      </w:pPr>
      <w:r>
        <w:rPr>
          <w:sz w:val="24"/>
        </w:rPr>
        <w:t xml:space="preserve">2. По договору ренты допускается установление обязанности выплачивать ренту бессрочно (постоянная рента) или на срок жизни получателя ренты (пожизненная рента). Пожизненная рента может быть установлена на условиях пожизненного содержания гражданина с иждивением.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583</dc:title>
  <dc:creator>АРБИТРАЖ! · arbi.ru</dc:creator>
  <cp:lastModifiedBy>АРБИТРАЖ!</cp:lastModifiedBy>
  <dcterms:created xsi:type="dcterms:W3CDTF">2026-10-22T11:16:58.222Z</dcterms:created>
</cp:coreProperties>
</file>