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586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Рента обременяет земельный участок, предприятие, здание, сооружение или другое недвижимое имущество, переданное под ее выплату. В случае отчуждения такого имущества плательщиком ренты его обязательства по договору ренты переходят на приобретателя имущества.</w:t>
      </w:r>
    </w:p>
    <w:p>
      <w:pPr>
        <w:spacing w:after="120"/>
        <w:ind w:firstLine="709"/>
      </w:pPr>
      <w:r>
        <w:rPr>
          <w:sz w:val="24"/>
        </w:rPr>
        <w:t xml:space="preserve">2. Лицо, передавшее обремененное рентой недвижимое имущество в собственность другого лица, несет субсидиарную с ним ответственность (статья 399) по требованиям получателя ренты, возникшим в связи с нарушением договора ренты, если настоящим Кодексом, другим законом или договором не предусмотрена солидарная ответственность по этому обязательству.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586</dc:title>
  <dc:creator>АРБИТРАЖ! · arbi.ru</dc:creator>
  <cp:lastModifiedBy>АРБИТРАЖ!</cp:lastModifiedBy>
  <dcterms:created xsi:type="dcterms:W3CDTF">2026-10-22T20:24:00.248Z</dcterms:created>
</cp:coreProperties>
</file>