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588 ГК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доли жилого помещения хочет признать преимущественное право покупки доли и перевести на себя права и обязанности покупателя по договору</w:t>
      </w:r>
    </w:p>
    <w:p>
      <w:pPr>
        <w:spacing w:after="120"/>
        <w:ind w:firstLine="709"/>
      </w:pPr>
      <w:r>
        <w:rPr>
          <w:sz w:val="24"/>
        </w:rPr>
        <w:t xml:space="preserve">За просрочку выплаты ренты плательщик ренты уплачивает получателю ренты проценты, предусмотренные статьей 395 настоящего Кодекса, если иной размер процентов не установлен договором ренты.</w:t>
      </w:r>
    </w:p>
    <w:p/>
    <w:p>
      <w:pPr>
        <w:spacing w:after="120"/>
        <w:ind w:firstLine="709"/>
      </w:pPr>
      <w:r>
        <w:rPr>
          <w:sz w:val="24"/>
        </w:rPr>
        <w:t xml:space="preserve">§ 2. Постоянная рента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588</dc:title>
  <dc:creator>АРБИТРАЖ! · arbi.ru</dc:creator>
  <cp:lastModifiedBy>АРБИТРАЖ!</cp:lastModifiedBy>
  <dcterms:created xsi:type="dcterms:W3CDTF">2026-10-22T22:04:40.370Z</dcterms:created>
</cp:coreProperties>
</file>