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Получателями постоянной ренты могут быть только граждане, а также некоммерческие организации, если это не противоречит закону и соответствует целям их деятельности.</w:t>
      </w:r>
    </w:p>
    <w:p>
      <w:pPr>
        <w:spacing w:after="120"/>
        <w:ind w:firstLine="709"/>
      </w:pPr>
      <w:r>
        <w:rPr>
          <w:sz w:val="24"/>
        </w:rPr>
        <w:t xml:space="preserve">2. Права получателя ренты по договору постоянной ренты могут передаваться лицам, указанным в пункте 1 настоящей статьи, путем уступки требования и переходить по наследству либо в порядке правопреемства при реорганизации юридических лиц, если иное не предусмотрено законом или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589</dc:title>
  <dc:creator>АРБИТРАЖ! · arbi.ru</dc:creator>
  <cp:lastModifiedBy>АРБИТРАЖ!</cp:lastModifiedBy>
  <dcterms:created xsi:type="dcterms:W3CDTF">2026-10-22T13:14:49.067Z</dcterms:created>
</cp:coreProperties>
</file>