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Постоянная рента выплачивается в деньгах в размере, устанавливаемом договором.</w:t>
      </w:r>
    </w:p>
    <w:p>
      <w:pPr>
        <w:spacing w:after="120"/>
        <w:ind w:firstLine="709"/>
      </w:pPr>
      <w:r>
        <w:rPr>
          <w:sz w:val="24"/>
        </w:rPr>
        <w:t xml:space="preserve">Договором постоянной ренты может быть предусмотрена выплата ренты путем предоставления вещей, выполнения работ или оказания услуг, соответствующих по стоимости денежной сумме ренты.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ч. 2 ГК РФ распространяются на правоотношения, возникшие из ранее заключенных договоров постоянной ренты (ФЗ от 30.11.2011 N 363-ФЗ ).</w:t>
      </w:r>
    </w:p>
    <w:p>
      <w:pPr>
        <w:spacing w:after="120"/>
        <w:ind w:firstLine="709"/>
      </w:pPr>
      <w:r>
        <w:rPr>
          <w:sz w:val="24"/>
        </w:rPr>
        <w:t xml:space="preserve">2. Размер выплачиваемой постоянной ренты, установленный договором постоянной ренты,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постоянной ренты,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Размер постоянной ренты, установленный договором постоянной ренты на уровне указанной в абзаце первом настоящего пункта величины прожиточного минимума на душу населения, подлежит увеличению с учетом роста соответствующей величины прожиточного минимума на душу населения.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30.11.2011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590</dc:title>
  <dc:creator>АРБИТРАЖ! · arbi.ru</dc:creator>
  <cp:lastModifiedBy>АРБИТРАЖ!</cp:lastModifiedBy>
  <dcterms:created xsi:type="dcterms:W3CDTF">2026-10-22T20:23:48.206Z</dcterms:created>
</cp:coreProperties>
</file>