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Получатель постоянной ренты вправе требовать выкупа ренты плательщиком в случаях, когда:</w:t>
      </w:r>
    </w:p>
    <w:p>
      <w:pPr>
        <w:spacing w:after="120"/>
        <w:ind w:firstLine="709"/>
      </w:pPr>
      <w:r>
        <w:rPr>
          <w:sz w:val="24"/>
        </w:rPr>
        <w:t xml:space="preserve">плательщик ренты просрочил ее выплату более чем на один год, если иное не предусмотрено договором постоянной ренты;</w:t>
      </w:r>
    </w:p>
    <w:p>
      <w:pPr>
        <w:spacing w:after="120"/>
        <w:ind w:firstLine="709"/>
      </w:pPr>
      <w:r>
        <w:rPr>
          <w:sz w:val="24"/>
        </w:rPr>
        <w:t xml:space="preserve">плательщик ренты нарушил свои обязательства по обеспечению выплаты ренты (статья 587) ;</w:t>
      </w:r>
    </w:p>
    <w:p>
      <w:pPr>
        <w:spacing w:after="120"/>
        <w:ind w:firstLine="709"/>
      </w:pPr>
      <w:r>
        <w:rPr>
          <w:sz w:val="24"/>
        </w:rPr>
        <w:t xml:space="preserve">плательщик ренты признан неплатежеспособным либо возникли иные обстоятельства, очевидно свидетельствующие, что рента не будет выплачиваться им в размере и в сроки, которые установлены договором;</w:t>
      </w:r>
    </w:p>
    <w:p>
      <w:pPr>
        <w:spacing w:after="120"/>
        <w:ind w:firstLine="709"/>
      </w:pPr>
      <w:r>
        <w:rPr>
          <w:sz w:val="24"/>
        </w:rPr>
        <w:t xml:space="preserve">недвижимое имущество, переданное под выплату ренты, поступило в общую собственность или разделено между несколькими лицами;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593</dc:title>
  <dc:creator>АРБИТРАЖ! · arbi.ru</dc:creator>
  <cp:lastModifiedBy>АРБИТРАЖ!</cp:lastModifiedBy>
  <dcterms:created xsi:type="dcterms:W3CDTF">2026-10-22T20:24:20.015Z</dcterms:created>
</cp:coreProperties>
</file>