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Выкуп постоянной ренты в случаях, предусмотренных статьями 592 и 593 настоящего Кодекса, производится по цене, определенной договором постоянной ренты.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условия о выкупной цене в договоре постоянной ренты, по которому имущество передано за плату под выплату постоянной ренты, выкуп осуществляется по цене, соответствующей годовой сумме подлежащей выплате ренты.</w:t>
      </w:r>
    </w:p>
    <w:p>
      <w:pPr>
        <w:spacing w:after="120"/>
        <w:ind w:firstLine="709"/>
      </w:pPr>
      <w:r>
        <w:rPr>
          <w:sz w:val="24"/>
        </w:rPr>
        <w:t xml:space="preserve">3. При отсутствии условия о выкупной цене в договоре постоянной ренты, по которому имущество передано под выплату ренты бесплатно, в выкупную цену наряду с годовой суммой рентных платежей включается цена переданного имущества, определяемая по правилам, предусмотренным пунктом 3 статьи 424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594</dc:title>
  <dc:creator>АРБИТРАЖ! · arbi.ru</dc:creator>
  <cp:lastModifiedBy>АРБИТРАЖ!</cp:lastModifiedBy>
  <dcterms:created xsi:type="dcterms:W3CDTF">2026-10-22T20:24:14.500Z</dcterms:created>
</cp:coreProperties>
</file>