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Риск случайной гибели или случайного повреждения имущества, переданного бесплатно под выплату постоянной ренты, несет плательщик ренты.</w:t>
      </w:r>
    </w:p>
    <w:p>
      <w:pPr>
        <w:spacing w:after="120"/>
        <w:ind w:firstLine="709"/>
      </w:pPr>
      <w:r>
        <w:rPr>
          <w:sz w:val="24"/>
        </w:rPr>
        <w:t xml:space="preserve">2. При случайной гибели или случайном повреждении имущества, переданного за плату под выплату постоянной ренты, плательщик вправе требовать соответственно прекращения обязательства по выплате ренты либо изменения условий ее выплаты.</w:t>
      </w:r>
    </w:p>
    <w:p/>
    <w:p>
      <w:pPr>
        <w:spacing w:after="120"/>
        <w:ind w:firstLine="709"/>
      </w:pPr>
      <w:r>
        <w:rPr>
          <w:sz w:val="24"/>
        </w:rPr>
        <w:t xml:space="preserve">§ 3. Пожизненная рента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595</dc:title>
  <dc:creator>АРБИТРАЖ! · arbi.ru</dc:creator>
  <cp:lastModifiedBy>АРБИТРАЖ!</cp:lastModifiedBy>
  <dcterms:created xsi:type="dcterms:W3CDTF">2026-10-22T12:26:26.930Z</dcterms:created>
</cp:coreProperties>
</file>