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Пожизненная рента определяется в договоре как денежная сумма, периодически выплачиваемая получателю ренты в течение его жизни.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ч. 2 ГК РФ распространяются на правоотношения, возникшие из ранее заключенных договоров пожизненной ренты (ФЗ от 30.11.2011 N 363-ФЗ ).</w:t>
      </w:r>
    </w:p>
    <w:p>
      <w:pPr>
        <w:spacing w:after="120"/>
        <w:ind w:firstLine="709"/>
      </w:pPr>
      <w:r>
        <w:rPr>
          <w:sz w:val="24"/>
        </w:rPr>
        <w:t xml:space="preserve">2. Размер пожизненной ренты, установленный договором пожизненной ренты, предусматривающим отчуждение имущества бесплатно,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пожизненной ренты,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Размер пожизненной ренты, установленный договором пожизненной ренты на уровне указанной в абзаце первом настоящего пункта величины прожиточного минимума на душу населения, подлежит увеличению с учетом роста соответствующей величины прожиточного минимума на душу населения.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30.11.2011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597</dc:title>
  <dc:creator>АРБИТРАЖ! · arbi.ru</dc:creator>
  <cp:lastModifiedBy>АРБИТРАЖ!</cp:lastModifiedBy>
  <dcterms:created xsi:type="dcterms:W3CDTF">2026-10-23T00:44:39.827Z</dcterms:created>
</cp:coreProperties>
</file>