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599 ГК РФ</w:t>
      </w:r>
    </w:p>
    <w:p>
      <w:pPr>
        <w:spacing w:after="120"/>
        <w:ind w:firstLine="709"/>
      </w:pPr>
      <w:r>
        <w:rPr>
          <w:sz w:val="24"/>
        </w:rPr>
        <w:t xml:space="preserve">- Получатель ренты хочет расторгнуть договор пожизненной ренты</w:t>
      </w:r>
    </w:p>
    <w:p>
      <w:pPr>
        <w:spacing w:after="120"/>
        <w:ind w:firstLine="709"/>
      </w:pPr>
      <w:r>
        <w:rPr>
          <w:sz w:val="24"/>
        </w:rPr>
        <w:t xml:space="preserve">1.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условиях, предусмотренных статьей 594 настоящего Кодекса, либо расторжения договора и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2. Если под выплату пожизненной ренты квартира, жилой дом или иное имущество отчуждены бесплатно,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599</dc:title>
  <dc:creator>АРБИТРАЖ! · arbi.ru</dc:creator>
  <cp:lastModifiedBy>АРБИТРАЖ!</cp:lastModifiedBy>
  <dcterms:created xsi:type="dcterms:W3CDTF">2026-10-22T22:05:38.262Z</dcterms:created>
</cp:coreProperties>
</file>