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601 ГК РФ</w:t>
      </w:r>
    </w:p>
    <w:p>
      <w:pPr>
        <w:spacing w:after="120"/>
        <w:ind w:firstLine="709"/>
      </w:pPr>
      <w:r>
        <w:rPr>
          <w:sz w:val="24"/>
        </w:rPr>
        <w:t xml:space="preserve">- Третье лицо хочет признать договор пожизненного содержания с иждивением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По договору пожизненного содержания с иждивением получатель ренты - гражданин передает принадлежащие ему жилой дом, квартиру, земельный участок или иную недвижимость в собственность плательщика ренты, который обязуется осуществлять пожизненное содержание с иждивением гражданина и (или) указанного им третьего лица (лиц).</w:t>
      </w:r>
    </w:p>
    <w:p>
      <w:pPr>
        <w:spacing w:after="120"/>
        <w:ind w:firstLine="709"/>
      </w:pPr>
      <w:r>
        <w:rPr>
          <w:sz w:val="24"/>
        </w:rPr>
        <w:t xml:space="preserve">2. К договору пожизненного содержания с иждивением применяются правила о пожизненной ренте, если иное не предусмотрено правилами настоящего параграфа.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601</dc:title>
  <dc:creator>АРБИТРАЖ! · arbi.ru</dc:creator>
  <cp:lastModifiedBy>АРБИТРАЖ!</cp:lastModifiedBy>
  <dcterms:created xsi:type="dcterms:W3CDTF">2026-10-22T20:16:33.980Z</dcterms:created>
</cp:coreProperties>
</file>