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602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32. Дарение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Обязанность плательщика ренты по предоставлению содержания с иждивением может включать обеспечение потребностей в жилище, питании и одежде, а если этого требует состояние здоровья гражданина, также и уход за ним. Договором пожизненного содержания с иждивением может быть также предусмотрена оплата плательщиком ренты ритуальных услуг.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Положения ч. 2 ГК РФ распространяются на правоотношения, возникшие из ранее заключенных договоров пожизненного содержания с иждивением (ФЗ от 30.11.2011 N 363-ФЗ ).</w:t>
      </w:r>
    </w:p>
    <w:p>
      <w:pPr>
        <w:spacing w:after="120"/>
        <w:ind w:firstLine="709"/>
      </w:pPr>
      <w:r>
        <w:rPr>
          <w:sz w:val="24"/>
        </w:rPr>
        <w:t xml:space="preserve">2. В договоре пожизненного содержания с иждивением должна быть определена стоимость всего объема содержания с иждивением. При этом стоимость общего объема содержания в месяц по договору пожизненного содержания с иждивением, предусматривающему отчуждение имущества бесплатно, не может быть менее двух установленных в соответствии с законом величин прожиточного минимума на душу населения в соответствующем субъекте Российской Федерации по месту нахождения имущества, являющегося предметом договора пожизненного содержания с иждивением, а при отсутствии в соответствующем субъекте Российской Федерации указанной величины не менее двух установленных в соответствии с законом величин прожиточного минимума на душу населения в целом по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30.11.2011 N 363-ФЗ)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При разрешении спора между сторонами об объеме содержания, которое предоставляется или должно предоставляться гражданину, суд должен руководствоваться принципами добросовестности и разумности.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602</dc:title>
  <dc:creator>АРБИТРАЖ! · arbi.ru</dc:creator>
  <cp:lastModifiedBy>АРБИТРАЖ!</cp:lastModifiedBy>
  <dcterms:created xsi:type="dcterms:W3CDTF">2026-10-22T22:01:34.442Z</dcterms:created>
</cp:coreProperties>
</file>